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4B2E3" w14:textId="77777777" w:rsidR="00E71021" w:rsidRPr="00E71021" w:rsidRDefault="00C748E0" w:rsidP="00E71021">
      <w:pPr>
        <w:bidi/>
        <w:rPr>
          <w:b/>
          <w:bCs/>
          <w:u w:val="single"/>
        </w:rPr>
      </w:pPr>
      <w:bookmarkStart w:id="0" w:name="_GoBack"/>
      <w:bookmarkEnd w:id="0"/>
      <w:r w:rsidRPr="00E71021">
        <w:rPr>
          <w:b/>
          <w:bCs/>
          <w:u w:val="single"/>
          <w:rtl/>
        </w:rPr>
        <w:t xml:space="preserve">וועדת ערר לפי חוק הנכים תגמולים ושיקום תשי"ט 1959,  פסק הדין עוסק בעניין זכאותה של חיילת שחלתה במהלך שירותה הצבאי לתגמולים ממשרד הביטחון. </w:t>
      </w:r>
    </w:p>
    <w:p w14:paraId="1B6FB7F6" w14:textId="53CE23B8" w:rsidR="00E71021" w:rsidRPr="00E71021" w:rsidRDefault="00C748E0" w:rsidP="00E71021">
      <w:pPr>
        <w:bidi/>
        <w:rPr>
          <w:b/>
          <w:bCs/>
          <w:u w:val="single"/>
          <w:rtl/>
        </w:rPr>
      </w:pPr>
      <w:r w:rsidRPr="00E71021">
        <w:rPr>
          <w:b/>
          <w:bCs/>
          <w:u w:val="single"/>
          <w:rtl/>
        </w:rPr>
        <w:t xml:space="preserve">מספר תיק:  </w:t>
      </w:r>
      <w:r>
        <w:rPr>
          <w:rFonts w:hint="cs"/>
          <w:b/>
          <w:bCs/>
          <w:u w:val="single"/>
          <w:rtl/>
        </w:rPr>
        <w:t>35643-04-20</w:t>
      </w:r>
    </w:p>
    <w:p w14:paraId="27F117D5" w14:textId="77777777" w:rsidR="00E71021" w:rsidRPr="00E71021" w:rsidRDefault="00C748E0" w:rsidP="00E71021">
      <w:pPr>
        <w:bidi/>
        <w:rPr>
          <w:b/>
          <w:bCs/>
          <w:u w:val="single"/>
          <w:rtl/>
        </w:rPr>
      </w:pPr>
      <w:r w:rsidRPr="00E71021">
        <w:rPr>
          <w:b/>
          <w:bCs/>
          <w:u w:val="single"/>
          <w:rtl/>
        </w:rPr>
        <w:t>סוג ההליך: מינהלי לפי חוק הנכים (תגמולים ושיקום)  תשי"ט - 1959 [נוסח משולב].</w:t>
      </w:r>
    </w:p>
    <w:p w14:paraId="672C1A72" w14:textId="7645B09E" w:rsidR="00E71021" w:rsidRPr="00E71021" w:rsidRDefault="00C748E0" w:rsidP="00E71021">
      <w:pPr>
        <w:bidi/>
        <w:rPr>
          <w:b/>
          <w:bCs/>
          <w:u w:val="single"/>
          <w:rtl/>
        </w:rPr>
      </w:pPr>
      <w:r w:rsidRPr="00E71021">
        <w:rPr>
          <w:b/>
          <w:bCs/>
          <w:u w:val="single"/>
          <w:rtl/>
        </w:rPr>
        <w:t xml:space="preserve">הרכב: חברי הועדה השופטת( דימ.) יעל אחימן יו"ר, ד"ר הדר ירדני חברה, עו"ד </w:t>
      </w:r>
      <w:r>
        <w:rPr>
          <w:rFonts w:hint="cs"/>
          <w:b/>
          <w:bCs/>
          <w:u w:val="single"/>
          <w:rtl/>
        </w:rPr>
        <w:t>ירון מויאל</w:t>
      </w:r>
      <w:r w:rsidRPr="00E71021">
        <w:rPr>
          <w:b/>
          <w:bCs/>
          <w:u w:val="single"/>
          <w:rtl/>
        </w:rPr>
        <w:t>, חבר.</w:t>
      </w:r>
    </w:p>
    <w:p w14:paraId="21FF7FFA" w14:textId="77777777" w:rsidR="00E71021" w:rsidRPr="00E71021" w:rsidRDefault="00C748E0" w:rsidP="00E71021">
      <w:pPr>
        <w:bidi/>
        <w:rPr>
          <w:b/>
          <w:bCs/>
          <w:u w:val="single"/>
          <w:rtl/>
        </w:rPr>
      </w:pPr>
      <w:r w:rsidRPr="00E71021">
        <w:rPr>
          <w:b/>
          <w:bCs/>
          <w:u w:val="single"/>
          <w:rtl/>
        </w:rPr>
        <w:t xml:space="preserve">בית משפט: בית משפט השלום בירושלים. </w:t>
      </w:r>
    </w:p>
    <w:p w14:paraId="61DD5743" w14:textId="2C5970E6" w:rsidR="00E71021" w:rsidRPr="00E71021" w:rsidRDefault="00C748E0" w:rsidP="00E71021">
      <w:pPr>
        <w:bidi/>
        <w:rPr>
          <w:b/>
          <w:bCs/>
          <w:u w:val="single"/>
          <w:rtl/>
        </w:rPr>
      </w:pPr>
      <w:r w:rsidRPr="00E71021">
        <w:rPr>
          <w:b/>
          <w:bCs/>
          <w:u w:val="single"/>
          <w:rtl/>
        </w:rPr>
        <w:t xml:space="preserve">מועד פסק הדין: </w:t>
      </w:r>
      <w:r>
        <w:rPr>
          <w:rFonts w:hint="cs"/>
          <w:b/>
          <w:bCs/>
          <w:u w:val="single"/>
          <w:rtl/>
        </w:rPr>
        <w:t xml:space="preserve">11.9.24 </w:t>
      </w:r>
    </w:p>
    <w:p w14:paraId="2A969AC1" w14:textId="77777777" w:rsidR="00E71021" w:rsidRDefault="00E71021" w:rsidP="00A9766E">
      <w:pPr>
        <w:bidi/>
        <w:rPr>
          <w:b/>
          <w:bCs/>
          <w:u w:val="single"/>
          <w:rtl/>
        </w:rPr>
      </w:pPr>
    </w:p>
    <w:p w14:paraId="582B92BF" w14:textId="7C74DEDC" w:rsidR="00F627B4" w:rsidRPr="00B31586" w:rsidRDefault="00C748E0" w:rsidP="00E71021">
      <w:pPr>
        <w:bidi/>
        <w:rPr>
          <w:b/>
          <w:bCs/>
          <w:u w:val="single"/>
          <w:rtl/>
        </w:rPr>
      </w:pPr>
      <w:r w:rsidRPr="00B31586">
        <w:rPr>
          <w:rFonts w:hint="cs"/>
          <w:b/>
          <w:bCs/>
          <w:u w:val="single"/>
          <w:rtl/>
        </w:rPr>
        <w:t xml:space="preserve">תקציר פסק הדין שניתן בע"נ 35643-04-20 </w:t>
      </w:r>
    </w:p>
    <w:p w14:paraId="20AE2B08" w14:textId="77777777" w:rsidR="00A9766E" w:rsidRDefault="00A9766E" w:rsidP="00A9766E">
      <w:pPr>
        <w:bidi/>
        <w:rPr>
          <w:rtl/>
        </w:rPr>
      </w:pPr>
    </w:p>
    <w:p w14:paraId="52ABF5A4" w14:textId="77777777" w:rsidR="00367CB9" w:rsidRDefault="00C748E0" w:rsidP="00B31586">
      <w:pPr>
        <w:bidi/>
        <w:spacing w:line="480" w:lineRule="auto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 xml:space="preserve">פסק הדין שניתן ביום 11.9.24 </w:t>
      </w:r>
      <w:r w:rsidR="003A1854" w:rsidRPr="00B31586">
        <w:rPr>
          <w:rFonts w:ascii="David" w:hAnsi="David" w:cs="David"/>
          <w:rtl/>
        </w:rPr>
        <w:t xml:space="preserve">דן בזכותה של חיילת </w:t>
      </w:r>
      <w:r w:rsidRPr="00B31586">
        <w:rPr>
          <w:rFonts w:ascii="David" w:hAnsi="David" w:cs="David"/>
          <w:rtl/>
        </w:rPr>
        <w:t>שחלתה</w:t>
      </w:r>
      <w:r w:rsidR="003A1854" w:rsidRPr="00B31586">
        <w:rPr>
          <w:rFonts w:ascii="David" w:hAnsi="David" w:cs="David"/>
          <w:rtl/>
        </w:rPr>
        <w:t xml:space="preserve"> במחלת נפש דו – קוטבית,</w:t>
      </w:r>
      <w:r w:rsidRPr="00B31586">
        <w:rPr>
          <w:rFonts w:ascii="David" w:hAnsi="David" w:cs="David"/>
          <w:rtl/>
        </w:rPr>
        <w:t xml:space="preserve"> במהלך שירותה הצבאי</w:t>
      </w:r>
      <w:r w:rsidR="003A1854" w:rsidRPr="00B31586">
        <w:rPr>
          <w:rFonts w:ascii="David" w:hAnsi="David" w:cs="David"/>
          <w:rtl/>
        </w:rPr>
        <w:t xml:space="preserve"> להכרה </w:t>
      </w:r>
      <w:r w:rsidR="00804F70" w:rsidRPr="00B31586">
        <w:rPr>
          <w:rFonts w:ascii="David" w:hAnsi="David" w:cs="David"/>
          <w:rtl/>
        </w:rPr>
        <w:t>בפגיעתה על בסיס חוק הנכים תגמולים ושיקום. החידוש בפסק הדין הוא</w:t>
      </w:r>
      <w:r w:rsidR="00B31586">
        <w:rPr>
          <w:rFonts w:ascii="David" w:hAnsi="David" w:cs="David" w:hint="cs"/>
          <w:rtl/>
        </w:rPr>
        <w:t>,</w:t>
      </w:r>
      <w:r w:rsidR="00804F70" w:rsidRPr="00B31586">
        <w:rPr>
          <w:rFonts w:ascii="David" w:hAnsi="David" w:cs="David"/>
          <w:rtl/>
        </w:rPr>
        <w:t xml:space="preserve"> שחברי הוועדה </w:t>
      </w:r>
      <w:r w:rsidR="00F70BF1" w:rsidRPr="00B31586">
        <w:rPr>
          <w:rFonts w:ascii="David" w:hAnsi="David" w:cs="David"/>
          <w:rtl/>
        </w:rPr>
        <w:t xml:space="preserve">ניתחו את מהלכיו של קצין התגמולים בעניין הנדון, </w:t>
      </w:r>
      <w:r w:rsidR="00804F70" w:rsidRPr="00B31586">
        <w:rPr>
          <w:rFonts w:ascii="David" w:hAnsi="David" w:cs="David"/>
          <w:rtl/>
        </w:rPr>
        <w:t xml:space="preserve">מתוך פרספקטיבה רחבה יותר מן המקובל. לא רק שחברי הועדה קיבלו את הערעור שהוגש על ידי החיילת </w:t>
      </w:r>
      <w:r w:rsidR="00B31586">
        <w:rPr>
          <w:rFonts w:ascii="David" w:hAnsi="David" w:cs="David" w:hint="cs"/>
          <w:rtl/>
        </w:rPr>
        <w:t xml:space="preserve">המערערת, </w:t>
      </w:r>
      <w:r w:rsidR="00804F70" w:rsidRPr="00B31586">
        <w:rPr>
          <w:rFonts w:ascii="David" w:hAnsi="David" w:cs="David"/>
          <w:rtl/>
        </w:rPr>
        <w:t>אלא שהם</w:t>
      </w:r>
      <w:r w:rsidR="00B31586">
        <w:rPr>
          <w:rFonts w:ascii="David" w:hAnsi="David" w:cs="David" w:hint="cs"/>
          <w:rtl/>
        </w:rPr>
        <w:t xml:space="preserve"> אף</w:t>
      </w:r>
      <w:r w:rsidR="00804F70" w:rsidRPr="00B31586">
        <w:rPr>
          <w:rFonts w:ascii="David" w:hAnsi="David" w:cs="David"/>
          <w:rtl/>
        </w:rPr>
        <w:t xml:space="preserve"> עמדו על הכשל המערכתי המתגלה באופן שבו </w:t>
      </w:r>
      <w:r>
        <w:rPr>
          <w:rFonts w:ascii="David" w:hAnsi="David" w:cs="David" w:hint="cs"/>
          <w:rtl/>
        </w:rPr>
        <w:t xml:space="preserve">מתקבלות החלטותיו של </w:t>
      </w:r>
      <w:r w:rsidR="00804F70" w:rsidRPr="00B31586">
        <w:rPr>
          <w:rFonts w:ascii="David" w:hAnsi="David" w:cs="David"/>
          <w:rtl/>
        </w:rPr>
        <w:t>קצין התגמולים וזאת בנוגע לכלל הנפגעים</w:t>
      </w:r>
      <w:r>
        <w:rPr>
          <w:rFonts w:ascii="David" w:hAnsi="David" w:cs="David" w:hint="cs"/>
          <w:rtl/>
        </w:rPr>
        <w:t>,</w:t>
      </w:r>
      <w:r w:rsidR="00804F70" w:rsidRPr="00B31586">
        <w:rPr>
          <w:rFonts w:ascii="David" w:hAnsi="David" w:cs="David"/>
          <w:rtl/>
        </w:rPr>
        <w:t xml:space="preserve"> הפונים </w:t>
      </w:r>
      <w:r w:rsidR="00F70BF1" w:rsidRPr="00B31586">
        <w:rPr>
          <w:rFonts w:ascii="David" w:hAnsi="David" w:cs="David"/>
          <w:rtl/>
        </w:rPr>
        <w:t xml:space="preserve">למימוש זכויותיהם על פי חוק. </w:t>
      </w:r>
    </w:p>
    <w:p w14:paraId="22D6FB71" w14:textId="77777777" w:rsidR="00367CB9" w:rsidRDefault="00C748E0" w:rsidP="00367CB9">
      <w:pPr>
        <w:bidi/>
        <w:spacing w:line="480" w:lineRule="auto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>תביעתה של החיילת שטענה</w:t>
      </w:r>
      <w:r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כי</w:t>
      </w:r>
      <w:r w:rsidR="00C07432" w:rsidRPr="00B31586">
        <w:rPr>
          <w:rFonts w:ascii="David" w:hAnsi="David" w:cs="David"/>
          <w:rtl/>
        </w:rPr>
        <w:t xml:space="preserve"> לא הצליחה להתמודד עם תנאי השירות הקשים שבהם היתה נתונה</w:t>
      </w:r>
      <w:r w:rsidR="00B20274" w:rsidRPr="00B31586">
        <w:rPr>
          <w:rFonts w:ascii="David" w:hAnsi="David" w:cs="David"/>
          <w:rtl/>
        </w:rPr>
        <w:t xml:space="preserve"> </w:t>
      </w:r>
      <w:r w:rsidRPr="00B31586">
        <w:rPr>
          <w:rFonts w:ascii="David" w:hAnsi="David" w:cs="David"/>
          <w:rtl/>
        </w:rPr>
        <w:t>לאחר גיוסה לצה"ל</w:t>
      </w:r>
      <w:r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 נדחתה על ידי משרד הביטחון </w:t>
      </w:r>
      <w:r w:rsidR="00C07432" w:rsidRPr="00B31586">
        <w:rPr>
          <w:rFonts w:ascii="David" w:hAnsi="David" w:cs="David"/>
          <w:rtl/>
        </w:rPr>
        <w:t>בהסתמך על חוות דעתה של המומחית ד"ר ברוריה פסטרנק גונן</w:t>
      </w:r>
      <w:r w:rsidRPr="00B31586">
        <w:rPr>
          <w:rFonts w:ascii="David" w:hAnsi="David" w:cs="David"/>
          <w:rtl/>
        </w:rPr>
        <w:t>. הנימוק שעמד ביסוד הדחייה היה, כי החיילת נ</w:t>
      </w:r>
      <w:r w:rsidR="00C07432" w:rsidRPr="00B31586">
        <w:rPr>
          <w:rFonts w:ascii="David" w:hAnsi="David" w:cs="David"/>
          <w:rtl/>
        </w:rPr>
        <w:t xml:space="preserve">שאה בגופה  נטייה תורשתית למחלה מסוג זה, </w:t>
      </w:r>
      <w:r w:rsidR="00A9766E" w:rsidRPr="00B31586">
        <w:rPr>
          <w:rFonts w:ascii="David" w:hAnsi="David" w:cs="David"/>
          <w:rtl/>
        </w:rPr>
        <w:t xml:space="preserve">סבלה בעברה מדיכאון ומקשיים חברתיים, כך שאין </w:t>
      </w:r>
      <w:r w:rsidRPr="00B31586">
        <w:rPr>
          <w:rFonts w:ascii="David" w:hAnsi="David" w:cs="David"/>
          <w:rtl/>
        </w:rPr>
        <w:t>ל</w:t>
      </w:r>
      <w:r>
        <w:rPr>
          <w:rFonts w:ascii="David" w:hAnsi="David" w:cs="David" w:hint="cs"/>
          <w:rtl/>
        </w:rPr>
        <w:t>הכיר בקיומו של</w:t>
      </w:r>
      <w:r w:rsidRPr="00B31586">
        <w:rPr>
          <w:rFonts w:ascii="David" w:hAnsi="David" w:cs="David"/>
          <w:rtl/>
        </w:rPr>
        <w:t xml:space="preserve"> קשר סיבתי בין התפרצות מחלתה</w:t>
      </w:r>
      <w:r>
        <w:rPr>
          <w:rFonts w:ascii="David" w:hAnsi="David" w:cs="David" w:hint="cs"/>
          <w:rtl/>
        </w:rPr>
        <w:t xml:space="preserve"> ובין תנאי שירותה. </w:t>
      </w:r>
    </w:p>
    <w:p w14:paraId="05EEA6F9" w14:textId="3956F3DE" w:rsidR="00713915" w:rsidRPr="00B31586" w:rsidRDefault="00C748E0" w:rsidP="00367CB9">
      <w:pPr>
        <w:bidi/>
        <w:spacing w:line="480" w:lineRule="auto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 xml:space="preserve"> </w:t>
      </w:r>
      <w:r w:rsidR="00B0581D" w:rsidRPr="00B31586">
        <w:rPr>
          <w:rFonts w:ascii="David" w:hAnsi="David" w:cs="David"/>
          <w:rtl/>
        </w:rPr>
        <w:t>במסגרתו של דיון זה, נדרשו חברי הועדה למאפייניהם של יחסי הגומלין</w:t>
      </w:r>
      <w:r w:rsidR="00367CB9">
        <w:rPr>
          <w:rFonts w:ascii="David" w:hAnsi="David" w:cs="David" w:hint="cs"/>
          <w:rtl/>
        </w:rPr>
        <w:t>,</w:t>
      </w:r>
      <w:r w:rsidR="00B0581D" w:rsidRPr="00B31586">
        <w:rPr>
          <w:rFonts w:ascii="David" w:hAnsi="David" w:cs="David"/>
          <w:rtl/>
        </w:rPr>
        <w:t xml:space="preserve"> הקיימים בין משרד הביטחון ובין המומחים המייעצים</w:t>
      </w:r>
      <w:r w:rsidR="00367CB9">
        <w:rPr>
          <w:rFonts w:ascii="David" w:hAnsi="David" w:cs="David" w:hint="cs"/>
          <w:rtl/>
        </w:rPr>
        <w:t>, אלה</w:t>
      </w:r>
      <w:r w:rsidR="00B0581D" w:rsidRPr="00B31586">
        <w:rPr>
          <w:rFonts w:ascii="David" w:hAnsi="David" w:cs="David"/>
          <w:rtl/>
        </w:rPr>
        <w:t xml:space="preserve"> הבודקים את הנפגעים ומייעצים למשרד הביטחון אם לקבל את התביעה</w:t>
      </w:r>
      <w:r w:rsidR="00367CB9">
        <w:rPr>
          <w:rFonts w:ascii="David" w:hAnsi="David" w:cs="David" w:hint="cs"/>
          <w:rtl/>
        </w:rPr>
        <w:t>,</w:t>
      </w:r>
      <w:r w:rsidR="00B0581D" w:rsidRPr="00B31586">
        <w:rPr>
          <w:rFonts w:ascii="David" w:hAnsi="David" w:cs="David"/>
          <w:rtl/>
        </w:rPr>
        <w:t xml:space="preserve"> או לדחותה. בין השאר</w:t>
      </w:r>
      <w:r w:rsidR="00367CB9">
        <w:rPr>
          <w:rFonts w:ascii="David" w:hAnsi="David" w:cs="David" w:hint="cs"/>
          <w:rtl/>
        </w:rPr>
        <w:t>,</w:t>
      </w:r>
      <w:r w:rsidR="00B0581D" w:rsidRPr="00B31586">
        <w:rPr>
          <w:rFonts w:ascii="David" w:hAnsi="David" w:cs="David"/>
          <w:rtl/>
        </w:rPr>
        <w:t xml:space="preserve"> עמדו חברי הועדה על </w:t>
      </w:r>
      <w:r w:rsidR="007816E5" w:rsidRPr="00B31586">
        <w:rPr>
          <w:rFonts w:ascii="David" w:hAnsi="David" w:cs="David"/>
          <w:rtl/>
        </w:rPr>
        <w:t xml:space="preserve">מעמדו </w:t>
      </w:r>
      <w:r w:rsidRPr="00B31586">
        <w:rPr>
          <w:rFonts w:ascii="David" w:hAnsi="David" w:cs="David"/>
          <w:rtl/>
        </w:rPr>
        <w:t xml:space="preserve">המיוחד והמורכב </w:t>
      </w:r>
      <w:r w:rsidR="007816E5" w:rsidRPr="00B31586">
        <w:rPr>
          <w:rFonts w:ascii="David" w:hAnsi="David" w:cs="David"/>
          <w:rtl/>
        </w:rPr>
        <w:t xml:space="preserve"> של הרופא </w:t>
      </w:r>
      <w:r w:rsidRPr="00B31586">
        <w:rPr>
          <w:rFonts w:ascii="David" w:hAnsi="David" w:cs="David"/>
          <w:rtl/>
        </w:rPr>
        <w:t>המומחה</w:t>
      </w:r>
      <w:r w:rsidR="00367CB9">
        <w:rPr>
          <w:rFonts w:ascii="David" w:hAnsi="David" w:cs="David" w:hint="cs"/>
          <w:rtl/>
        </w:rPr>
        <w:t>, ככזה</w:t>
      </w:r>
      <w:r w:rsidRPr="00B31586">
        <w:rPr>
          <w:rFonts w:ascii="David" w:hAnsi="David" w:cs="David"/>
          <w:rtl/>
        </w:rPr>
        <w:t xml:space="preserve"> הנושא מאפיינים של נאמנות</w:t>
      </w:r>
      <w:r w:rsidR="00367CB9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הן כלפי הנבדק והן כלפי קצין התגמולים</w:t>
      </w:r>
      <w:r w:rsidR="001B133A" w:rsidRPr="00B31586">
        <w:rPr>
          <w:rFonts w:ascii="David" w:hAnsi="David" w:cs="David"/>
          <w:rtl/>
        </w:rPr>
        <w:t>. לפיכך</w:t>
      </w:r>
      <w:r w:rsidR="00367CB9">
        <w:rPr>
          <w:rFonts w:ascii="David" w:hAnsi="David" w:cs="David" w:hint="cs"/>
          <w:rtl/>
        </w:rPr>
        <w:t>,</w:t>
      </w:r>
      <w:r w:rsidR="001B133A" w:rsidRPr="00B31586">
        <w:rPr>
          <w:rFonts w:ascii="David" w:hAnsi="David" w:cs="David"/>
          <w:rtl/>
        </w:rPr>
        <w:t xml:space="preserve"> </w:t>
      </w:r>
      <w:r w:rsidR="00367CB9">
        <w:rPr>
          <w:rFonts w:ascii="David" w:hAnsi="David" w:cs="David" w:hint="cs"/>
          <w:rtl/>
        </w:rPr>
        <w:t>כך קבעו חברי הועדה את המובן מאליו, מוטלת עליו העירנות והחובה לדחייתו של</w:t>
      </w:r>
      <w:r w:rsidR="008B4AB5" w:rsidRPr="00B31586">
        <w:rPr>
          <w:rFonts w:ascii="David" w:hAnsi="David" w:cs="David"/>
          <w:rtl/>
        </w:rPr>
        <w:t xml:space="preserve"> כל נסיון להטות את חוות דעתו לכיוון זה או אחר. </w:t>
      </w:r>
      <w:r w:rsidRPr="00B31586">
        <w:rPr>
          <w:rFonts w:ascii="David" w:hAnsi="David" w:cs="David"/>
          <w:rtl/>
        </w:rPr>
        <w:t xml:space="preserve"> חובתו </w:t>
      </w:r>
      <w:r w:rsidR="001B133A" w:rsidRPr="00B31586">
        <w:rPr>
          <w:rFonts w:ascii="David" w:hAnsi="David" w:cs="David"/>
          <w:rtl/>
        </w:rPr>
        <w:t xml:space="preserve"> </w:t>
      </w:r>
      <w:r w:rsidRPr="00B31586">
        <w:rPr>
          <w:rFonts w:ascii="David" w:hAnsi="David" w:cs="David"/>
          <w:rtl/>
        </w:rPr>
        <w:t>כלפי הנבדק</w:t>
      </w:r>
      <w:r w:rsidR="00367CB9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אינה פחותה מחובתו כלפי </w:t>
      </w:r>
      <w:r w:rsidR="00DD6EE1" w:rsidRPr="00B31586">
        <w:rPr>
          <w:rFonts w:ascii="David" w:hAnsi="David" w:cs="David"/>
          <w:rtl/>
        </w:rPr>
        <w:t>משרד הביטחון</w:t>
      </w:r>
      <w:r w:rsidR="00367CB9">
        <w:rPr>
          <w:rFonts w:ascii="David" w:hAnsi="David" w:cs="David" w:hint="cs"/>
          <w:rtl/>
        </w:rPr>
        <w:t>,</w:t>
      </w:r>
      <w:r w:rsidR="00DD6EE1" w:rsidRPr="00B31586">
        <w:rPr>
          <w:rFonts w:ascii="David" w:hAnsi="David" w:cs="David"/>
          <w:rtl/>
        </w:rPr>
        <w:t xml:space="preserve"> שכן </w:t>
      </w:r>
      <w:r w:rsidR="00367CB9">
        <w:rPr>
          <w:rFonts w:ascii="David" w:hAnsi="David" w:cs="David" w:hint="cs"/>
          <w:rtl/>
        </w:rPr>
        <w:t xml:space="preserve">מעמדו אינו כשל </w:t>
      </w:r>
      <w:r w:rsidR="007816E5" w:rsidRPr="00B31586">
        <w:rPr>
          <w:rFonts w:ascii="David" w:hAnsi="David" w:cs="David"/>
          <w:rtl/>
        </w:rPr>
        <w:t xml:space="preserve">רופא "מטעם", הוא אף איננו </w:t>
      </w:r>
      <w:r w:rsidR="007816E5" w:rsidRPr="00B31586">
        <w:rPr>
          <w:rFonts w:ascii="David" w:hAnsi="David" w:cs="David"/>
          <w:rtl/>
        </w:rPr>
        <w:lastRenderedPageBreak/>
        <w:t xml:space="preserve">בגדר </w:t>
      </w:r>
      <w:r w:rsidR="00367CB9">
        <w:rPr>
          <w:rFonts w:ascii="David" w:hAnsi="David" w:cs="David" w:hint="cs"/>
          <w:rtl/>
        </w:rPr>
        <w:t>"</w:t>
      </w:r>
      <w:r w:rsidR="007816E5" w:rsidRPr="00B31586">
        <w:rPr>
          <w:rFonts w:ascii="David" w:hAnsi="David" w:cs="David"/>
          <w:rtl/>
        </w:rPr>
        <w:t>זרועו הארוכה</w:t>
      </w:r>
      <w:r w:rsidR="00367CB9">
        <w:rPr>
          <w:rFonts w:ascii="David" w:hAnsi="David" w:cs="David" w:hint="cs"/>
          <w:rtl/>
        </w:rPr>
        <w:t>"</w:t>
      </w:r>
      <w:r w:rsidR="007816E5" w:rsidRPr="00B31586">
        <w:rPr>
          <w:rFonts w:ascii="David" w:hAnsi="David" w:cs="David"/>
          <w:rtl/>
        </w:rPr>
        <w:t xml:space="preserve"> של משרד הביטחון. מדובר בתפקיד של בודק  אובייקטיבי,  </w:t>
      </w:r>
      <w:r w:rsidR="00DD6EE1" w:rsidRPr="00B31586">
        <w:rPr>
          <w:rFonts w:ascii="David" w:hAnsi="David" w:cs="David"/>
          <w:rtl/>
        </w:rPr>
        <w:t>ה</w:t>
      </w:r>
      <w:r w:rsidR="007816E5" w:rsidRPr="00B31586">
        <w:rPr>
          <w:rFonts w:ascii="David" w:hAnsi="David" w:cs="David"/>
          <w:rtl/>
        </w:rPr>
        <w:t xml:space="preserve">מחויב לאתיקה המקצועית של הרופאים, </w:t>
      </w:r>
      <w:r w:rsidR="00A469B9">
        <w:rPr>
          <w:rFonts w:ascii="David" w:hAnsi="David" w:cs="David" w:hint="cs"/>
          <w:rtl/>
        </w:rPr>
        <w:t>לפעולה</w:t>
      </w:r>
      <w:r w:rsidR="007816E5" w:rsidRPr="00B31586">
        <w:rPr>
          <w:rFonts w:ascii="David" w:hAnsi="David" w:cs="David"/>
          <w:rtl/>
        </w:rPr>
        <w:t xml:space="preserve"> על פי הסטנדרטים הרפואיים</w:t>
      </w:r>
      <w:r w:rsidR="00DD6EE1" w:rsidRPr="00B31586">
        <w:rPr>
          <w:rFonts w:ascii="David" w:hAnsi="David" w:cs="David"/>
          <w:rtl/>
        </w:rPr>
        <w:t xml:space="preserve"> המקצועיים</w:t>
      </w:r>
      <w:r w:rsidR="007816E5" w:rsidRPr="00B31586">
        <w:rPr>
          <w:rFonts w:ascii="David" w:hAnsi="David" w:cs="David"/>
          <w:rtl/>
        </w:rPr>
        <w:t xml:space="preserve"> המקובלים</w:t>
      </w:r>
      <w:r w:rsidR="00A469B9">
        <w:rPr>
          <w:rFonts w:ascii="David" w:hAnsi="David" w:cs="David" w:hint="cs"/>
          <w:rtl/>
        </w:rPr>
        <w:t xml:space="preserve"> ולעריכת </w:t>
      </w:r>
      <w:r w:rsidR="00DD6EE1" w:rsidRPr="00B31586">
        <w:rPr>
          <w:rFonts w:ascii="David" w:hAnsi="David" w:cs="David"/>
          <w:rtl/>
        </w:rPr>
        <w:t xml:space="preserve"> כל הבדיקות הנוספות</w:t>
      </w:r>
      <w:r w:rsidR="00A469B9">
        <w:rPr>
          <w:rFonts w:ascii="David" w:hAnsi="David" w:cs="David" w:hint="cs"/>
          <w:rtl/>
        </w:rPr>
        <w:t>,</w:t>
      </w:r>
      <w:r w:rsidR="00DD6EE1" w:rsidRPr="00B31586">
        <w:rPr>
          <w:rFonts w:ascii="David" w:hAnsi="David" w:cs="David"/>
          <w:rtl/>
        </w:rPr>
        <w:t xml:space="preserve"> ככל שאלה נדרשות לו</w:t>
      </w:r>
      <w:r w:rsidR="00A469B9">
        <w:rPr>
          <w:rFonts w:ascii="David" w:hAnsi="David" w:cs="David" w:hint="cs"/>
          <w:rtl/>
        </w:rPr>
        <w:t>,</w:t>
      </w:r>
      <w:r w:rsidR="00DD6EE1" w:rsidRPr="00B31586">
        <w:rPr>
          <w:rFonts w:ascii="David" w:hAnsi="David" w:cs="David"/>
          <w:rtl/>
        </w:rPr>
        <w:t xml:space="preserve"> לשם </w:t>
      </w:r>
      <w:r w:rsidR="007816E5" w:rsidRPr="00B31586">
        <w:rPr>
          <w:rFonts w:ascii="David" w:hAnsi="David" w:cs="David"/>
          <w:rtl/>
        </w:rPr>
        <w:t xml:space="preserve">גיבוש דעתו העצמאית והאובייקטיבית. </w:t>
      </w:r>
    </w:p>
    <w:p w14:paraId="541C59B3" w14:textId="705E96C1" w:rsidR="007816E5" w:rsidRPr="00B31586" w:rsidRDefault="00C748E0" w:rsidP="00B31586">
      <w:pPr>
        <w:bidi/>
        <w:spacing w:line="480" w:lineRule="auto"/>
        <w:rPr>
          <w:rFonts w:ascii="David" w:hAnsi="David" w:cs="David"/>
        </w:rPr>
      </w:pPr>
      <w:r w:rsidRPr="00B31586">
        <w:rPr>
          <w:rFonts w:ascii="David" w:hAnsi="David" w:cs="David"/>
          <w:rtl/>
        </w:rPr>
        <w:t>מן הצד השני</w:t>
      </w:r>
      <w:r w:rsidR="00DD6EE1" w:rsidRPr="00B31586">
        <w:rPr>
          <w:rFonts w:ascii="David" w:hAnsi="David" w:cs="David"/>
          <w:rtl/>
        </w:rPr>
        <w:t>,</w:t>
      </w:r>
      <w:r w:rsidRPr="00B31586">
        <w:rPr>
          <w:rFonts w:ascii="David" w:hAnsi="David" w:cs="David"/>
          <w:rtl/>
        </w:rPr>
        <w:t xml:space="preserve"> קצין התגמולים </w:t>
      </w:r>
      <w:r w:rsidR="00DD6EE1" w:rsidRPr="00B31586">
        <w:rPr>
          <w:rFonts w:ascii="David" w:hAnsi="David" w:cs="David"/>
          <w:rtl/>
        </w:rPr>
        <w:t>שאמור להיות מודע לדברים אלה</w:t>
      </w:r>
      <w:r w:rsidR="00A469B9">
        <w:rPr>
          <w:rFonts w:ascii="David" w:hAnsi="David" w:cs="David" w:hint="cs"/>
          <w:rtl/>
        </w:rPr>
        <w:t>,</w:t>
      </w:r>
      <w:r w:rsidR="00DD6EE1" w:rsidRPr="00B31586">
        <w:rPr>
          <w:rFonts w:ascii="David" w:hAnsi="David" w:cs="David"/>
          <w:rtl/>
        </w:rPr>
        <w:t xml:space="preserve"> נדרש להמנע מכל </w:t>
      </w:r>
      <w:r w:rsidRPr="00B31586">
        <w:rPr>
          <w:rFonts w:ascii="David" w:hAnsi="David" w:cs="David"/>
          <w:rtl/>
        </w:rPr>
        <w:t>התערב</w:t>
      </w:r>
      <w:r w:rsidR="00DD6EE1" w:rsidRPr="00B31586">
        <w:rPr>
          <w:rFonts w:ascii="David" w:hAnsi="David" w:cs="David"/>
          <w:rtl/>
        </w:rPr>
        <w:t>ו</w:t>
      </w:r>
      <w:r w:rsidR="00A469B9">
        <w:rPr>
          <w:rFonts w:ascii="David" w:hAnsi="David" w:cs="David" w:hint="cs"/>
          <w:rtl/>
        </w:rPr>
        <w:t>ת</w:t>
      </w:r>
      <w:r w:rsidRPr="00B31586">
        <w:rPr>
          <w:rFonts w:ascii="David" w:hAnsi="David" w:cs="David"/>
          <w:rtl/>
        </w:rPr>
        <w:t xml:space="preserve"> בשיקוליו הרפואיים של המומחה שבו בחר לחוות את דעתו</w:t>
      </w:r>
      <w:r w:rsidR="00A469B9">
        <w:rPr>
          <w:rFonts w:ascii="David" w:hAnsi="David" w:cs="David" w:hint="cs"/>
          <w:rtl/>
        </w:rPr>
        <w:t>.</w:t>
      </w:r>
      <w:r w:rsidR="00DD6EE1" w:rsidRPr="00B31586">
        <w:rPr>
          <w:rFonts w:ascii="David" w:hAnsi="David" w:cs="David"/>
          <w:rtl/>
        </w:rPr>
        <w:t xml:space="preserve"> לפיכך, עליו להזהיר את עצמו מפני כל נגיעה בשיקוליו של המומחה</w:t>
      </w:r>
      <w:r w:rsidR="00A469B9">
        <w:rPr>
          <w:rFonts w:ascii="David" w:hAnsi="David" w:cs="David" w:hint="cs"/>
          <w:rtl/>
        </w:rPr>
        <w:t>, אם במישרין ואם בעקיפין, ולהקפיד על גבולות תפקידו שנועד לשמש, בשלב זה, כ</w:t>
      </w:r>
      <w:r w:rsidR="00DD6EE1" w:rsidRPr="00B31586">
        <w:rPr>
          <w:rFonts w:ascii="David" w:hAnsi="David" w:cs="David"/>
          <w:rtl/>
        </w:rPr>
        <w:t xml:space="preserve"> "</w:t>
      </w:r>
      <w:r w:rsidRPr="00B31586">
        <w:rPr>
          <w:rFonts w:ascii="David" w:hAnsi="David" w:cs="David"/>
          <w:rtl/>
        </w:rPr>
        <w:t>צינור</w:t>
      </w:r>
      <w:r w:rsidR="00DD6EE1" w:rsidRPr="00B31586">
        <w:rPr>
          <w:rFonts w:ascii="David" w:hAnsi="David" w:cs="David"/>
          <w:rtl/>
        </w:rPr>
        <w:t xml:space="preserve">" להעברת המידע </w:t>
      </w:r>
      <w:r w:rsidRPr="00B31586">
        <w:rPr>
          <w:rFonts w:ascii="David" w:hAnsi="David" w:cs="David"/>
          <w:rtl/>
        </w:rPr>
        <w:t>הממוסמך הקיים בידיו למומחה. האחרון</w:t>
      </w:r>
      <w:r w:rsidR="00A469B9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הוא שישקול את כל השיקולים ויבצע את הבדיקות </w:t>
      </w:r>
      <w:r w:rsidR="00A469B9">
        <w:rPr>
          <w:rFonts w:ascii="David" w:hAnsi="David" w:cs="David" w:hint="cs"/>
          <w:rtl/>
        </w:rPr>
        <w:t xml:space="preserve">המיטביות </w:t>
      </w:r>
      <w:r w:rsidRPr="00B31586">
        <w:rPr>
          <w:rFonts w:ascii="David" w:hAnsi="David" w:cs="David"/>
          <w:rtl/>
        </w:rPr>
        <w:t>הנדרשות</w:t>
      </w:r>
      <w:r w:rsidR="00A469B9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לשם חשיפת האמת הרפואית</w:t>
      </w:r>
      <w:r w:rsidR="00A469B9">
        <w:rPr>
          <w:rFonts w:ascii="David" w:hAnsi="David" w:cs="David" w:hint="cs"/>
          <w:rtl/>
        </w:rPr>
        <w:t>.</w:t>
      </w:r>
      <w:r w:rsidRPr="00B31586">
        <w:rPr>
          <w:rFonts w:ascii="David" w:hAnsi="David" w:cs="David"/>
          <w:rtl/>
        </w:rPr>
        <w:t xml:space="preserve"> </w:t>
      </w:r>
    </w:p>
    <w:p w14:paraId="26351F0B" w14:textId="36B400B7" w:rsidR="005F4248" w:rsidRDefault="00C748E0" w:rsidP="00B31586">
      <w:pPr>
        <w:tabs>
          <w:tab w:val="left" w:pos="894"/>
        </w:tabs>
        <w:bidi/>
        <w:spacing w:line="480" w:lineRule="auto"/>
        <w:jc w:val="both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>אלא שחברי הועדה</w:t>
      </w:r>
      <w:r w:rsidR="00A469B9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בניתוחם את מהלך הדברים בתיק שנדון בפניהם,</w:t>
      </w:r>
      <w:r w:rsidR="00B15372" w:rsidRPr="00B31586">
        <w:rPr>
          <w:rFonts w:ascii="David" w:hAnsi="David" w:cs="David"/>
          <w:rtl/>
        </w:rPr>
        <w:t xml:space="preserve"> התריעו כנגד מה שנראה בעיניהם, כהיווצרותה של תרבות</w:t>
      </w:r>
      <w:r w:rsidR="00A469B9">
        <w:rPr>
          <w:rFonts w:ascii="David" w:hAnsi="David" w:cs="David" w:hint="cs"/>
          <w:rtl/>
        </w:rPr>
        <w:t xml:space="preserve"> שונה. זו</w:t>
      </w:r>
      <w:r w:rsidR="00B15372" w:rsidRPr="00B31586">
        <w:rPr>
          <w:rFonts w:ascii="David" w:hAnsi="David" w:cs="David"/>
          <w:rtl/>
        </w:rPr>
        <w:t xml:space="preserve"> המנרמלת את היווצרותם של יחסי גומלין לא רצויים, בין משרד הביטחון ובין המומחים המייעצים לקצין התגמולים. כך הצביעו חברי הועדה</w:t>
      </w:r>
      <w:r w:rsidR="00A469B9">
        <w:rPr>
          <w:rFonts w:ascii="David" w:hAnsi="David" w:cs="David" w:hint="cs"/>
          <w:rtl/>
        </w:rPr>
        <w:t>, במקרה הקונקרטי שנדון לפניהם,</w:t>
      </w:r>
      <w:r w:rsidR="00B15372" w:rsidRPr="00B31586">
        <w:rPr>
          <w:rFonts w:ascii="David" w:hAnsi="David" w:cs="David"/>
          <w:rtl/>
        </w:rPr>
        <w:t xml:space="preserve"> על נסיונותיו של קצין התגמולים להשפיע על מסקנותיו של המומחה שמונה מטעמו</w:t>
      </w:r>
      <w:r>
        <w:rPr>
          <w:rFonts w:ascii="David" w:hAnsi="David" w:cs="David" w:hint="cs"/>
          <w:rtl/>
        </w:rPr>
        <w:t>,</w:t>
      </w:r>
      <w:r w:rsidR="00B15372" w:rsidRPr="00B31586">
        <w:rPr>
          <w:rFonts w:ascii="David" w:hAnsi="David" w:cs="David"/>
          <w:rtl/>
        </w:rPr>
        <w:t xml:space="preserve"> באמצע</w:t>
      </w:r>
      <w:r w:rsidR="00850310" w:rsidRPr="00B31586">
        <w:rPr>
          <w:rFonts w:ascii="David" w:hAnsi="David" w:cs="David"/>
          <w:rtl/>
        </w:rPr>
        <w:t>ות רמזים מתוחכמים מוסווים</w:t>
      </w:r>
      <w:r w:rsidR="00A469B9">
        <w:rPr>
          <w:rFonts w:ascii="David" w:hAnsi="David" w:cs="David" w:hint="cs"/>
          <w:rtl/>
        </w:rPr>
        <w:t xml:space="preserve">. </w:t>
      </w:r>
      <w:r>
        <w:rPr>
          <w:rFonts w:ascii="David" w:hAnsi="David" w:cs="David" w:hint="cs"/>
          <w:rtl/>
        </w:rPr>
        <w:t xml:space="preserve">לשם כך עשה קצין התגמולים </w:t>
      </w:r>
      <w:r w:rsidR="00A469B9">
        <w:rPr>
          <w:rFonts w:ascii="David" w:hAnsi="David" w:cs="David" w:hint="cs"/>
          <w:rtl/>
        </w:rPr>
        <w:t xml:space="preserve">שימוש </w:t>
      </w:r>
      <w:r w:rsidR="00850310" w:rsidRPr="00B31586">
        <w:rPr>
          <w:rFonts w:ascii="David" w:hAnsi="David" w:cs="David"/>
          <w:rtl/>
        </w:rPr>
        <w:t>במכתב ההפניה</w:t>
      </w:r>
      <w:r>
        <w:rPr>
          <w:rFonts w:ascii="David" w:hAnsi="David" w:cs="David" w:hint="cs"/>
          <w:rtl/>
        </w:rPr>
        <w:t>,</w:t>
      </w:r>
      <w:r w:rsidR="00850310" w:rsidRPr="00B31586">
        <w:rPr>
          <w:rFonts w:ascii="David" w:hAnsi="David" w:cs="David"/>
          <w:rtl/>
        </w:rPr>
        <w:t xml:space="preserve"> המלווה את התיק המועבר לבחינת המומחית</w:t>
      </w:r>
      <w:r>
        <w:rPr>
          <w:rFonts w:ascii="David" w:hAnsi="David" w:cs="David" w:hint="cs"/>
          <w:rtl/>
        </w:rPr>
        <w:t>,</w:t>
      </w:r>
      <w:r w:rsidR="00850310" w:rsidRPr="00B31586">
        <w:rPr>
          <w:rFonts w:ascii="David" w:hAnsi="David" w:cs="David"/>
          <w:rtl/>
        </w:rPr>
        <w:t xml:space="preserve"> כדי להנחותה, </w:t>
      </w:r>
      <w:r w:rsidR="00B15372" w:rsidRPr="00B31586">
        <w:rPr>
          <w:rFonts w:ascii="David" w:hAnsi="David" w:cs="David"/>
          <w:rtl/>
        </w:rPr>
        <w:t>או למצער לרמוז לה על המסקנות</w:t>
      </w:r>
      <w:r w:rsidR="00850310" w:rsidRPr="00B31586">
        <w:rPr>
          <w:rFonts w:ascii="David" w:hAnsi="David" w:cs="David"/>
          <w:rtl/>
        </w:rPr>
        <w:t xml:space="preserve"> המועדפות בעיניו</w:t>
      </w:r>
      <w:r w:rsidR="00807836" w:rsidRPr="00B31586">
        <w:rPr>
          <w:rFonts w:ascii="David" w:hAnsi="David" w:cs="David"/>
          <w:rtl/>
        </w:rPr>
        <w:t>. רמיזות אלה</w:t>
      </w:r>
      <w:r>
        <w:rPr>
          <w:rFonts w:ascii="David" w:hAnsi="David" w:cs="David" w:hint="cs"/>
          <w:rtl/>
        </w:rPr>
        <w:t xml:space="preserve">, שכללו הנחות רפואיות כאלה שבהן היה על המומחה להכריע כחלק מעבודתו, </w:t>
      </w:r>
      <w:r w:rsidR="00807836" w:rsidRPr="00B31586">
        <w:rPr>
          <w:rFonts w:ascii="David" w:hAnsi="David" w:cs="David"/>
          <w:rtl/>
        </w:rPr>
        <w:t>חושפות את ציפיותיו של משרד הביטחון</w:t>
      </w:r>
      <w:r>
        <w:rPr>
          <w:rFonts w:ascii="David" w:hAnsi="David" w:cs="David" w:hint="cs"/>
          <w:rtl/>
        </w:rPr>
        <w:t xml:space="preserve"> לכיוון מסויים דווקא. </w:t>
      </w:r>
      <w:r w:rsidR="00807836" w:rsidRPr="00B31586">
        <w:rPr>
          <w:rFonts w:ascii="David" w:hAnsi="David" w:cs="David"/>
          <w:rtl/>
        </w:rPr>
        <w:t xml:space="preserve">  </w:t>
      </w:r>
    </w:p>
    <w:p w14:paraId="50F2BD1F" w14:textId="6A0F8AF7" w:rsidR="00E3541B" w:rsidRPr="00B31586" w:rsidRDefault="00C748E0" w:rsidP="005F4248">
      <w:pPr>
        <w:tabs>
          <w:tab w:val="left" w:pos="894"/>
        </w:tabs>
        <w:bidi/>
        <w:spacing w:line="480" w:lineRule="auto"/>
        <w:jc w:val="both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>ודוק. בהינתן כי רשימת המומחים שבהם נעזר קצין התגמולים היא כזו ששכרה בצידה</w:t>
      </w:r>
      <w:r w:rsidR="00623580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ומומחים מעוניינים להיכלל בה, יותר מסביר להניח, כי </w:t>
      </w:r>
      <w:r w:rsidR="00623580">
        <w:rPr>
          <w:rFonts w:ascii="David" w:hAnsi="David" w:cs="David" w:hint="cs"/>
          <w:rtl/>
        </w:rPr>
        <w:t xml:space="preserve">אלה יהיו רגישים לרמזים מסוג זה, העלולים להעמידם </w:t>
      </w:r>
      <w:r w:rsidRPr="00B31586">
        <w:rPr>
          <w:rFonts w:ascii="David" w:hAnsi="David" w:cs="David"/>
          <w:rtl/>
        </w:rPr>
        <w:t xml:space="preserve"> מראש, </w:t>
      </w:r>
      <w:r w:rsidR="00807836" w:rsidRPr="00B31586">
        <w:rPr>
          <w:rFonts w:ascii="David" w:hAnsi="David" w:cs="David"/>
          <w:rtl/>
        </w:rPr>
        <w:t>בסיטואציה</w:t>
      </w:r>
      <w:r w:rsidRPr="00B31586">
        <w:rPr>
          <w:rFonts w:ascii="David" w:hAnsi="David" w:cs="David"/>
          <w:rtl/>
        </w:rPr>
        <w:t xml:space="preserve"> של ניגוד אינטרסים מובנה</w:t>
      </w:r>
      <w:r w:rsidR="00807836" w:rsidRPr="00B31586">
        <w:rPr>
          <w:rFonts w:ascii="David" w:hAnsi="David" w:cs="David"/>
          <w:rtl/>
        </w:rPr>
        <w:t xml:space="preserve"> </w:t>
      </w:r>
      <w:r w:rsidR="00623580">
        <w:rPr>
          <w:rFonts w:ascii="David" w:hAnsi="David" w:cs="David" w:hint="cs"/>
          <w:rtl/>
        </w:rPr>
        <w:t xml:space="preserve">שבעטיה תיווצר הטיה. </w:t>
      </w:r>
      <w:r w:rsidRPr="00B31586">
        <w:rPr>
          <w:rFonts w:ascii="David" w:hAnsi="David" w:cs="David"/>
          <w:rtl/>
        </w:rPr>
        <w:t>לא מפתיע היה להיווכח בכך שפסטרנק אכן פסקה את פיסקה בהתאם להנחיות אלה, מבלי להרהר אחריהן משל היו נתון אכסיומטי</w:t>
      </w:r>
      <w:r w:rsidR="00807836" w:rsidRPr="00B31586">
        <w:rPr>
          <w:rFonts w:ascii="David" w:hAnsi="David" w:cs="David"/>
          <w:rtl/>
        </w:rPr>
        <w:t xml:space="preserve">, אך נחשפו על ידי חברי הועדה כמוטעות. </w:t>
      </w:r>
    </w:p>
    <w:p w14:paraId="0DBF652B" w14:textId="231A1846" w:rsidR="00B15372" w:rsidRDefault="00C748E0" w:rsidP="00B31586">
      <w:pPr>
        <w:tabs>
          <w:tab w:val="left" w:pos="894"/>
        </w:tabs>
        <w:bidi/>
        <w:spacing w:line="480" w:lineRule="auto"/>
        <w:jc w:val="both"/>
        <w:rPr>
          <w:rFonts w:ascii="David" w:hAnsi="David" w:cs="David"/>
          <w:rtl/>
        </w:rPr>
      </w:pPr>
      <w:r w:rsidRPr="00B31586">
        <w:rPr>
          <w:rFonts w:ascii="David" w:hAnsi="David" w:cs="David"/>
          <w:rtl/>
        </w:rPr>
        <w:t>המסר העולה מפסק הדין שניתן, מבוסס על רושם שאינו חד פעמי</w:t>
      </w:r>
      <w:r w:rsidR="00623580">
        <w:rPr>
          <w:rFonts w:ascii="David" w:hAnsi="David" w:cs="David" w:hint="cs"/>
          <w:rtl/>
        </w:rPr>
        <w:t>. לפיו,</w:t>
      </w:r>
      <w:r w:rsidRPr="00B31586">
        <w:rPr>
          <w:rFonts w:ascii="David" w:hAnsi="David" w:cs="David"/>
          <w:rtl/>
        </w:rPr>
        <w:t xml:space="preserve"> אם לא ייעשו שינויים משמעותיים בתחום זה, שמטרתם למנוע היווצרותה של תלות, או ניגוד אינטרסים, </w:t>
      </w:r>
      <w:r w:rsidR="00623580">
        <w:rPr>
          <w:rFonts w:ascii="David" w:hAnsi="David" w:cs="David" w:hint="cs"/>
          <w:rtl/>
        </w:rPr>
        <w:t xml:space="preserve">שהובנה </w:t>
      </w:r>
      <w:r w:rsidRPr="00B31586">
        <w:rPr>
          <w:rFonts w:ascii="David" w:hAnsi="David" w:cs="David"/>
          <w:rtl/>
        </w:rPr>
        <w:t xml:space="preserve">לתוך </w:t>
      </w:r>
      <w:r w:rsidR="00623580">
        <w:rPr>
          <w:rFonts w:ascii="David" w:hAnsi="David" w:cs="David" w:hint="cs"/>
          <w:rtl/>
        </w:rPr>
        <w:t xml:space="preserve">טיב היחסים שנוסדו </w:t>
      </w:r>
      <w:r w:rsidRPr="00B31586">
        <w:rPr>
          <w:rFonts w:ascii="David" w:hAnsi="David" w:cs="David"/>
          <w:rtl/>
        </w:rPr>
        <w:t>בין המומחים וקצין התגמולים, עלולה הפגיעה בציבור</w:t>
      </w:r>
      <w:r w:rsidR="00B63BFE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שלהגנתו נועד הקמתו של מוסד קצין התגמולים</w:t>
      </w:r>
      <w:r w:rsidR="00B63BFE">
        <w:rPr>
          <w:rFonts w:ascii="David" w:hAnsi="David" w:cs="David" w:hint="cs"/>
          <w:rtl/>
        </w:rPr>
        <w:t>,</w:t>
      </w:r>
      <w:r w:rsidRPr="00B31586">
        <w:rPr>
          <w:rFonts w:ascii="David" w:hAnsi="David" w:cs="David"/>
          <w:rtl/>
        </w:rPr>
        <w:t xml:space="preserve"> להתרחב עוד יותר. בכך – מוסיפים ואומרים חברי הועדה</w:t>
      </w:r>
      <w:r w:rsidR="00B63BFE">
        <w:rPr>
          <w:rFonts w:ascii="David" w:hAnsi="David" w:cs="David" w:hint="cs"/>
          <w:rtl/>
        </w:rPr>
        <w:t xml:space="preserve"> -</w:t>
      </w:r>
      <w:r w:rsidRPr="00B31586">
        <w:rPr>
          <w:rFonts w:ascii="David" w:hAnsi="David" w:cs="David"/>
          <w:rtl/>
        </w:rPr>
        <w:t xml:space="preserve"> יש כדי לשמש כתמרור אזהרה נוסף, שעדיף להתייחס אליו </w:t>
      </w:r>
      <w:r w:rsidR="00B31586" w:rsidRPr="00B31586">
        <w:rPr>
          <w:rFonts w:ascii="David" w:hAnsi="David" w:cs="David"/>
          <w:rtl/>
        </w:rPr>
        <w:t xml:space="preserve">ברצינות ובמהירות הראויים. </w:t>
      </w:r>
      <w:r w:rsidRPr="00B31586">
        <w:rPr>
          <w:rFonts w:ascii="David" w:hAnsi="David" w:cs="David"/>
          <w:rtl/>
        </w:rPr>
        <w:t xml:space="preserve"> </w:t>
      </w:r>
    </w:p>
    <w:p w14:paraId="5E21EE57" w14:textId="482B9AA8" w:rsidR="006733FA" w:rsidRPr="006733FA" w:rsidRDefault="00C748E0" w:rsidP="006733FA">
      <w:pPr>
        <w:tabs>
          <w:tab w:val="left" w:pos="894"/>
        </w:tabs>
        <w:bidi/>
        <w:spacing w:line="480" w:lineRule="auto"/>
        <w:jc w:val="both"/>
        <w:rPr>
          <w:rFonts w:ascii="David" w:hAnsi="David" w:cs="David"/>
          <w:b/>
          <w:bCs/>
        </w:rPr>
      </w:pPr>
      <w:r w:rsidRPr="006733FA">
        <w:rPr>
          <w:rFonts w:ascii="David" w:hAnsi="David" w:cs="David" w:hint="cs"/>
          <w:b/>
          <w:bCs/>
          <w:rtl/>
        </w:rPr>
        <w:t>עותק פסק הדין מצורף בזאת.</w:t>
      </w:r>
    </w:p>
    <w:p w14:paraId="15BD5283" w14:textId="0298C937" w:rsidR="007816E5" w:rsidRPr="00B31586" w:rsidRDefault="007816E5" w:rsidP="00B31586">
      <w:pPr>
        <w:tabs>
          <w:tab w:val="left" w:pos="894"/>
        </w:tabs>
        <w:bidi/>
        <w:spacing w:line="480" w:lineRule="auto"/>
        <w:jc w:val="both"/>
        <w:rPr>
          <w:rFonts w:ascii="David" w:hAnsi="David" w:cs="David"/>
          <w:rtl/>
        </w:rPr>
      </w:pPr>
    </w:p>
    <w:p w14:paraId="46E968DE" w14:textId="18CDA48B" w:rsidR="007816E5" w:rsidRPr="00B31586" w:rsidRDefault="007816E5" w:rsidP="00B31586">
      <w:pPr>
        <w:bidi/>
        <w:spacing w:line="480" w:lineRule="auto"/>
        <w:rPr>
          <w:rFonts w:ascii="David" w:hAnsi="David" w:cs="David"/>
          <w:rtl/>
        </w:rPr>
      </w:pPr>
    </w:p>
    <w:p w14:paraId="439B26D3" w14:textId="77777777" w:rsidR="00F70BF1" w:rsidRPr="00B31586" w:rsidRDefault="00F70BF1" w:rsidP="00B31586">
      <w:pPr>
        <w:bidi/>
        <w:spacing w:line="480" w:lineRule="auto"/>
        <w:rPr>
          <w:rFonts w:ascii="David" w:hAnsi="David" w:cs="David"/>
        </w:rPr>
      </w:pPr>
    </w:p>
    <w:sectPr w:rsidR="00F70BF1" w:rsidRPr="00B315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2676F"/>
    <w:multiLevelType w:val="hybridMultilevel"/>
    <w:tmpl w:val="F1D07144"/>
    <w:lvl w:ilvl="0" w:tplc="7C22AB1A">
      <w:start w:val="1"/>
      <w:numFmt w:val="decimal"/>
      <w:lvlText w:val="%1."/>
      <w:lvlJc w:val="left"/>
      <w:pPr>
        <w:ind w:left="1264" w:hanging="360"/>
      </w:pPr>
    </w:lvl>
    <w:lvl w:ilvl="1" w:tplc="B2C23C24">
      <w:start w:val="1"/>
      <w:numFmt w:val="lowerLetter"/>
      <w:lvlText w:val="%2."/>
      <w:lvlJc w:val="left"/>
      <w:pPr>
        <w:ind w:left="1984" w:hanging="360"/>
      </w:pPr>
    </w:lvl>
    <w:lvl w:ilvl="2" w:tplc="C2B4E952">
      <w:start w:val="1"/>
      <w:numFmt w:val="lowerRoman"/>
      <w:lvlText w:val="%3."/>
      <w:lvlJc w:val="right"/>
      <w:pPr>
        <w:ind w:left="2704" w:hanging="180"/>
      </w:pPr>
    </w:lvl>
    <w:lvl w:ilvl="3" w:tplc="72E63C32">
      <w:start w:val="1"/>
      <w:numFmt w:val="decimal"/>
      <w:lvlText w:val="%4."/>
      <w:lvlJc w:val="left"/>
      <w:pPr>
        <w:ind w:left="3424" w:hanging="360"/>
      </w:pPr>
    </w:lvl>
    <w:lvl w:ilvl="4" w:tplc="9B5C9D04">
      <w:start w:val="1"/>
      <w:numFmt w:val="lowerLetter"/>
      <w:lvlText w:val="%5."/>
      <w:lvlJc w:val="left"/>
      <w:pPr>
        <w:ind w:left="4144" w:hanging="360"/>
      </w:pPr>
    </w:lvl>
    <w:lvl w:ilvl="5" w:tplc="362CA066">
      <w:start w:val="1"/>
      <w:numFmt w:val="lowerRoman"/>
      <w:lvlText w:val="%6."/>
      <w:lvlJc w:val="right"/>
      <w:pPr>
        <w:ind w:left="4864" w:hanging="180"/>
      </w:pPr>
    </w:lvl>
    <w:lvl w:ilvl="6" w:tplc="D58E34F2">
      <w:start w:val="1"/>
      <w:numFmt w:val="decimal"/>
      <w:lvlText w:val="%7."/>
      <w:lvlJc w:val="left"/>
      <w:pPr>
        <w:ind w:left="5584" w:hanging="360"/>
      </w:pPr>
    </w:lvl>
    <w:lvl w:ilvl="7" w:tplc="B974475C">
      <w:start w:val="1"/>
      <w:numFmt w:val="lowerLetter"/>
      <w:lvlText w:val="%8."/>
      <w:lvlJc w:val="left"/>
      <w:pPr>
        <w:ind w:left="6304" w:hanging="360"/>
      </w:pPr>
    </w:lvl>
    <w:lvl w:ilvl="8" w:tplc="1C58C134">
      <w:start w:val="1"/>
      <w:numFmt w:val="lowerRoman"/>
      <w:lvlText w:val="%9."/>
      <w:lvlJc w:val="right"/>
      <w:pPr>
        <w:ind w:left="7024" w:hanging="180"/>
      </w:pPr>
    </w:lvl>
  </w:abstractNum>
  <w:abstractNum w:abstractNumId="1" w15:restartNumberingAfterBreak="0">
    <w:nsid w:val="1E572051"/>
    <w:multiLevelType w:val="hybridMultilevel"/>
    <w:tmpl w:val="F1D07144"/>
    <w:lvl w:ilvl="0" w:tplc="A9FEE0C4">
      <w:start w:val="1"/>
      <w:numFmt w:val="decimal"/>
      <w:lvlText w:val="%1."/>
      <w:lvlJc w:val="left"/>
      <w:pPr>
        <w:ind w:left="1264" w:hanging="360"/>
      </w:pPr>
    </w:lvl>
    <w:lvl w:ilvl="1" w:tplc="40486E3A">
      <w:start w:val="1"/>
      <w:numFmt w:val="lowerLetter"/>
      <w:lvlText w:val="%2."/>
      <w:lvlJc w:val="left"/>
      <w:pPr>
        <w:ind w:left="1984" w:hanging="360"/>
      </w:pPr>
    </w:lvl>
    <w:lvl w:ilvl="2" w:tplc="FFD676F8">
      <w:start w:val="1"/>
      <w:numFmt w:val="lowerRoman"/>
      <w:lvlText w:val="%3."/>
      <w:lvlJc w:val="right"/>
      <w:pPr>
        <w:ind w:left="2704" w:hanging="180"/>
      </w:pPr>
    </w:lvl>
    <w:lvl w:ilvl="3" w:tplc="6BCCD7F2">
      <w:start w:val="1"/>
      <w:numFmt w:val="decimal"/>
      <w:lvlText w:val="%4."/>
      <w:lvlJc w:val="left"/>
      <w:pPr>
        <w:ind w:left="3424" w:hanging="360"/>
      </w:pPr>
    </w:lvl>
    <w:lvl w:ilvl="4" w:tplc="D8AA714A">
      <w:start w:val="1"/>
      <w:numFmt w:val="lowerLetter"/>
      <w:lvlText w:val="%5."/>
      <w:lvlJc w:val="left"/>
      <w:pPr>
        <w:ind w:left="4144" w:hanging="360"/>
      </w:pPr>
    </w:lvl>
    <w:lvl w:ilvl="5" w:tplc="BF14E1EE">
      <w:start w:val="1"/>
      <w:numFmt w:val="lowerRoman"/>
      <w:lvlText w:val="%6."/>
      <w:lvlJc w:val="right"/>
      <w:pPr>
        <w:ind w:left="4864" w:hanging="180"/>
      </w:pPr>
    </w:lvl>
    <w:lvl w:ilvl="6" w:tplc="037C19A0">
      <w:start w:val="1"/>
      <w:numFmt w:val="decimal"/>
      <w:lvlText w:val="%7."/>
      <w:lvlJc w:val="left"/>
      <w:pPr>
        <w:ind w:left="5584" w:hanging="360"/>
      </w:pPr>
    </w:lvl>
    <w:lvl w:ilvl="7" w:tplc="6DE6B272">
      <w:start w:val="1"/>
      <w:numFmt w:val="lowerLetter"/>
      <w:lvlText w:val="%8."/>
      <w:lvlJc w:val="left"/>
      <w:pPr>
        <w:ind w:left="6304" w:hanging="360"/>
      </w:pPr>
    </w:lvl>
    <w:lvl w:ilvl="8" w:tplc="5EB6D844">
      <w:start w:val="1"/>
      <w:numFmt w:val="lowerRoman"/>
      <w:lvlText w:val="%9."/>
      <w:lvlJc w:val="right"/>
      <w:pPr>
        <w:ind w:left="70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7B4"/>
    <w:rsid w:val="00172F6E"/>
    <w:rsid w:val="001B133A"/>
    <w:rsid w:val="00367CB9"/>
    <w:rsid w:val="003A1854"/>
    <w:rsid w:val="005E7FED"/>
    <w:rsid w:val="005F0938"/>
    <w:rsid w:val="005F4248"/>
    <w:rsid w:val="00623580"/>
    <w:rsid w:val="006733FA"/>
    <w:rsid w:val="00713915"/>
    <w:rsid w:val="007816E5"/>
    <w:rsid w:val="00804F70"/>
    <w:rsid w:val="00807836"/>
    <w:rsid w:val="00850310"/>
    <w:rsid w:val="008B4AB5"/>
    <w:rsid w:val="00A2189F"/>
    <w:rsid w:val="00A469B9"/>
    <w:rsid w:val="00A9766E"/>
    <w:rsid w:val="00B0581D"/>
    <w:rsid w:val="00B15372"/>
    <w:rsid w:val="00B20274"/>
    <w:rsid w:val="00B31586"/>
    <w:rsid w:val="00B63BFE"/>
    <w:rsid w:val="00C07432"/>
    <w:rsid w:val="00C748E0"/>
    <w:rsid w:val="00C823FF"/>
    <w:rsid w:val="00DD6EE1"/>
    <w:rsid w:val="00E3541B"/>
    <w:rsid w:val="00E71021"/>
    <w:rsid w:val="00F627B4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52354"/>
  <w15:chartTrackingRefBased/>
  <w15:docId w15:val="{E137535F-0FC6-45BC-9AF2-80060D41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2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F62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F62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F627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F627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F627B4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F627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F627B4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F627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F627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2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F62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2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F62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2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F627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27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27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2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F627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627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אסתי טטרו</dc:creator>
  <cp:lastModifiedBy>אסתר טטרואשילי</cp:lastModifiedBy>
  <cp:revision>2</cp:revision>
  <dcterms:created xsi:type="dcterms:W3CDTF">2024-09-19T07:20:00Z</dcterms:created>
  <dcterms:modified xsi:type="dcterms:W3CDTF">2024-09-19T07:20:00Z</dcterms:modified>
</cp:coreProperties>
</file>